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69482">
      <w:pPr>
        <w:spacing w:before="96" w:line="680" w:lineRule="exact"/>
        <w:jc w:val="center"/>
        <w:rPr>
          <w:rFonts w:hint="eastAsia" w:ascii="方正小标宋_GBK" w:hAnsi="方正小标宋_GBK" w:eastAsia="方正小标宋_GBK" w:cs="微软雅黑"/>
          <w:spacing w:val="-4"/>
          <w:sz w:val="40"/>
          <w:szCs w:val="44"/>
        </w:rPr>
      </w:pPr>
      <w:r>
        <w:rPr>
          <w:rFonts w:hint="eastAsia" w:ascii="方正小标宋_GBK" w:hAnsi="方正小标宋_GBK" w:eastAsia="方正小标宋_GBK" w:cs="微软雅黑"/>
          <w:spacing w:val="-8"/>
          <w:sz w:val="40"/>
          <w:szCs w:val="44"/>
          <w:lang w:eastAsia="zh-Hans"/>
        </w:rPr>
        <w:t>药学院</w:t>
      </w:r>
      <w:r>
        <w:rPr>
          <w:rFonts w:ascii="方正小标宋_GBK" w:hAnsi="方正小标宋_GBK" w:eastAsia="方正小标宋_GBK" w:cs="微软雅黑"/>
          <w:spacing w:val="-8"/>
          <w:sz w:val="40"/>
          <w:szCs w:val="44"/>
        </w:rPr>
        <w:t>关于</w:t>
      </w:r>
      <w:r>
        <w:rPr>
          <w:rFonts w:ascii="方正小标宋_GBK" w:hAnsi="方正小标宋_GBK" w:eastAsia="方正小标宋_GBK" w:cs="微软雅黑"/>
          <w:spacing w:val="-5"/>
          <w:sz w:val="40"/>
          <w:szCs w:val="44"/>
        </w:rPr>
        <w:t>组</w:t>
      </w:r>
      <w:r>
        <w:rPr>
          <w:rFonts w:ascii="方正小标宋_GBK" w:hAnsi="方正小标宋_GBK" w:eastAsia="方正小标宋_GBK" w:cs="微软雅黑"/>
          <w:spacing w:val="-4"/>
          <w:sz w:val="40"/>
          <w:szCs w:val="44"/>
        </w:rPr>
        <w:t>织开展</w:t>
      </w:r>
      <w:r>
        <w:rPr>
          <w:rFonts w:hint="eastAsia" w:ascii="方正小标宋_GBK" w:hAnsi="方正小标宋_GBK" w:eastAsia="方正小标宋_GBK" w:cs="微软雅黑"/>
          <w:spacing w:val="-4"/>
          <w:sz w:val="40"/>
          <w:szCs w:val="44"/>
        </w:rPr>
        <w:t>202</w:t>
      </w:r>
      <w:r>
        <w:rPr>
          <w:rFonts w:ascii="方正小标宋_GBK" w:hAnsi="方正小标宋_GBK" w:eastAsia="方正小标宋_GBK" w:cs="微软雅黑"/>
          <w:spacing w:val="-4"/>
          <w:sz w:val="40"/>
          <w:szCs w:val="44"/>
        </w:rPr>
        <w:t>5</w:t>
      </w:r>
      <w:r>
        <w:rPr>
          <w:rFonts w:hint="eastAsia" w:ascii="方正小标宋_GBK" w:hAnsi="方正小标宋_GBK" w:eastAsia="方正小标宋_GBK" w:cs="微软雅黑"/>
          <w:spacing w:val="-4"/>
          <w:sz w:val="40"/>
          <w:szCs w:val="44"/>
        </w:rPr>
        <w:t>年南京中医药大学</w:t>
      </w:r>
    </w:p>
    <w:p w14:paraId="2AFC04FD">
      <w:pPr>
        <w:spacing w:before="96" w:line="680" w:lineRule="exact"/>
        <w:jc w:val="center"/>
        <w:rPr>
          <w:rFonts w:hint="eastAsia" w:ascii="方正小标宋_GBK" w:hAnsi="方正小标宋_GBK" w:eastAsia="方正小标宋_GBK" w:cs="微软雅黑"/>
          <w:sz w:val="40"/>
          <w:szCs w:val="44"/>
        </w:rPr>
      </w:pPr>
      <w:r>
        <w:rPr>
          <w:rFonts w:hint="eastAsia" w:ascii="方正小标宋_GBK" w:hAnsi="方正小标宋_GBK" w:eastAsia="方正小标宋_GBK" w:cs="微软雅黑"/>
          <w:spacing w:val="-4"/>
          <w:sz w:val="40"/>
          <w:szCs w:val="44"/>
        </w:rPr>
        <w:t>团干部思政技能大比武院级选拔赛的通知</w:t>
      </w:r>
    </w:p>
    <w:p w14:paraId="21581582">
      <w:pPr>
        <w:spacing w:line="560" w:lineRule="exact"/>
        <w:rPr>
          <w:rFonts w:hint="eastAsia" w:ascii="仿宋" w:hAnsi="仿宋" w:eastAsia="仿宋"/>
          <w:sz w:val="32"/>
          <w:szCs w:val="32"/>
        </w:rPr>
      </w:pPr>
      <w:r>
        <w:rPr>
          <w:rFonts w:hint="eastAsia" w:ascii="仿宋" w:hAnsi="仿宋" w:eastAsia="仿宋"/>
          <w:sz w:val="32"/>
          <w:szCs w:val="32"/>
        </w:rPr>
        <w:t>各班级团支部：</w:t>
      </w:r>
    </w:p>
    <w:p w14:paraId="4B3DED86">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为深入学习宣传贯彻习近平新时代中国特色社会主义思想和党的二十大</w:t>
      </w:r>
      <w:r>
        <w:rPr>
          <w:rFonts w:hint="eastAsia" w:ascii="仿宋" w:hAnsi="仿宋" w:eastAsia="仿宋"/>
          <w:sz w:val="32"/>
          <w:szCs w:val="32"/>
          <w:lang w:val="en-US" w:eastAsia="zh-CN"/>
        </w:rPr>
        <w:t>和党的二十届二中、三中全会精神</w:t>
      </w:r>
      <w:r>
        <w:rPr>
          <w:rFonts w:hint="eastAsia" w:ascii="仿宋" w:hAnsi="仿宋" w:eastAsia="仿宋"/>
          <w:sz w:val="32"/>
          <w:szCs w:val="32"/>
        </w:rPr>
        <w:t>，巩固深化团员和青年主题教育成果，进一步聚焦思想引领主责主业，团结引领全</w:t>
      </w:r>
      <w:r>
        <w:rPr>
          <w:rFonts w:hint="eastAsia" w:ascii="仿宋" w:hAnsi="仿宋" w:eastAsia="仿宋"/>
          <w:sz w:val="32"/>
          <w:szCs w:val="32"/>
          <w:lang w:val="en-US" w:eastAsia="zh-CN"/>
        </w:rPr>
        <w:t>院</w:t>
      </w:r>
      <w:r>
        <w:rPr>
          <w:rFonts w:hint="eastAsia" w:ascii="仿宋" w:hAnsi="仿宋" w:eastAsia="仿宋"/>
          <w:sz w:val="32"/>
          <w:szCs w:val="32"/>
        </w:rPr>
        <w:t>团员青年在思想淬炼和精神洗礼中锻造坚强党性、筑牢思想之基、补足精神之钙，坚定信念跟党走，勇做新时代新征程奋进者，决定组织开展202</w:t>
      </w:r>
      <w:r>
        <w:rPr>
          <w:rFonts w:ascii="仿宋" w:hAnsi="仿宋" w:eastAsia="仿宋"/>
          <w:sz w:val="32"/>
          <w:szCs w:val="32"/>
        </w:rPr>
        <w:t>5</w:t>
      </w:r>
      <w:r>
        <w:rPr>
          <w:rFonts w:hint="eastAsia" w:ascii="仿宋" w:hAnsi="仿宋" w:eastAsia="仿宋"/>
          <w:sz w:val="32"/>
          <w:szCs w:val="32"/>
        </w:rPr>
        <w:t>年南京中医药大学团干部思政技能大比武院级选拔赛。现将有关事项通知如下。</w:t>
      </w:r>
    </w:p>
    <w:p w14:paraId="21CE0A98">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一、参赛对象</w:t>
      </w:r>
    </w:p>
    <w:p w14:paraId="787925AF">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全</w:t>
      </w:r>
      <w:r>
        <w:rPr>
          <w:rFonts w:hint="eastAsia" w:ascii="仿宋" w:hAnsi="仿宋" w:eastAsia="仿宋"/>
          <w:sz w:val="32"/>
          <w:szCs w:val="32"/>
          <w:lang w:eastAsia="zh-Hans"/>
        </w:rPr>
        <w:t>院</w:t>
      </w:r>
      <w:r>
        <w:rPr>
          <w:rFonts w:hint="eastAsia" w:ascii="仿宋" w:hAnsi="仿宋" w:eastAsia="仿宋"/>
          <w:sz w:val="32"/>
          <w:szCs w:val="32"/>
        </w:rPr>
        <w:t>团支部（含功能型团支部）书记</w:t>
      </w:r>
      <w:r>
        <w:rPr>
          <w:rFonts w:ascii="仿宋" w:hAnsi="仿宋" w:eastAsia="仿宋"/>
          <w:sz w:val="32"/>
          <w:szCs w:val="32"/>
        </w:rPr>
        <w:t>（</w:t>
      </w:r>
      <w:r>
        <w:rPr>
          <w:rFonts w:hint="eastAsia" w:ascii="仿宋" w:hAnsi="仿宋" w:eastAsia="仿宋"/>
          <w:sz w:val="32"/>
          <w:szCs w:val="32"/>
          <w:lang w:eastAsia="zh-Hans"/>
        </w:rPr>
        <w:t>含研究生团支部</w:t>
      </w:r>
      <w:r>
        <w:rPr>
          <w:rFonts w:ascii="仿宋" w:hAnsi="仿宋" w:eastAsia="仿宋"/>
          <w:sz w:val="32"/>
          <w:szCs w:val="32"/>
          <w:lang w:eastAsia="zh-Hans"/>
        </w:rPr>
        <w:t>）</w:t>
      </w:r>
      <w:r>
        <w:rPr>
          <w:rFonts w:hint="eastAsia" w:ascii="仿宋" w:hAnsi="仿宋" w:eastAsia="仿宋"/>
          <w:sz w:val="32"/>
          <w:szCs w:val="32"/>
        </w:rPr>
        <w:t>。</w:t>
      </w:r>
    </w:p>
    <w:p w14:paraId="5AA79AD1">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二、比赛内容</w:t>
      </w:r>
    </w:p>
    <w:p w14:paraId="6AEB21A9">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以习近平新时代中国特色社会主义思想为指导，全面贯彻党的二十大和</w:t>
      </w:r>
      <w:r>
        <w:rPr>
          <w:rFonts w:hint="eastAsia" w:ascii="仿宋" w:hAnsi="仿宋" w:eastAsia="仿宋"/>
          <w:sz w:val="32"/>
          <w:szCs w:val="32"/>
          <w:lang w:val="en-US" w:eastAsia="zh-CN"/>
        </w:rPr>
        <w:t>党的二十届二中、三中全会</w:t>
      </w:r>
      <w:r>
        <w:rPr>
          <w:rFonts w:hint="eastAsia" w:ascii="仿宋" w:hAnsi="仿宋" w:eastAsia="仿宋"/>
          <w:sz w:val="32"/>
          <w:szCs w:val="32"/>
        </w:rPr>
        <w:t>精神，深入贯彻习近平总书记关于青年工作的重要思想和关于教育的重要论述，紧紧围绕习近平总书记在同团中央新一届领导班子集体谈话时的重要讲话精神和对江苏工作历次重要讲话重要指示精神，重点回应解答青年学生在理想和现实、主义和问题、利己和利他、小我和大我、民族和世界等方面的现实关切和思想困惑，动员引领广大团员争当“五个模范”、做到“五个带头”，在强国建设、民族复兴伟业中勇当先锋队、突击队，为实现高质量发展持续注入青春力量，让共青团思想政治教育入脑入心。</w:t>
      </w:r>
      <w:r>
        <w:rPr>
          <w:rFonts w:hint="eastAsia" w:ascii="仿宋" w:hAnsi="仿宋" w:eastAsia="仿宋"/>
          <w:b/>
          <w:bCs/>
          <w:sz w:val="32"/>
          <w:szCs w:val="32"/>
        </w:rPr>
        <w:t>选题指南及评审标准见附件。</w:t>
      </w:r>
    </w:p>
    <w:p w14:paraId="59773326">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三、赛程安排</w:t>
      </w:r>
    </w:p>
    <w:p w14:paraId="4CF2223A">
      <w:pPr>
        <w:spacing w:line="560" w:lineRule="exact"/>
        <w:ind w:firstLine="640" w:firstLineChars="200"/>
        <w:rPr>
          <w:rFonts w:hint="eastAsia" w:ascii="仿宋" w:hAnsi="仿宋" w:eastAsia="仿宋"/>
          <w:color w:val="FF0000"/>
          <w:sz w:val="32"/>
          <w:szCs w:val="32"/>
        </w:rPr>
      </w:pPr>
      <w:r>
        <w:rPr>
          <w:rFonts w:hint="eastAsia" w:ascii="仿宋" w:hAnsi="仿宋" w:eastAsia="仿宋"/>
          <w:sz w:val="32"/>
          <w:szCs w:val="32"/>
          <w:lang w:eastAsia="zh-Hans"/>
        </w:rPr>
        <w:t>院赛阶段</w:t>
      </w:r>
      <w:r>
        <w:rPr>
          <w:rFonts w:hint="eastAsia" w:ascii="仿宋" w:hAnsi="仿宋" w:eastAsia="仿宋"/>
          <w:sz w:val="32"/>
          <w:szCs w:val="32"/>
        </w:rPr>
        <w:t>：</w:t>
      </w:r>
      <w:r>
        <w:rPr>
          <w:rFonts w:ascii="仿宋" w:hAnsi="仿宋" w:eastAsia="仿宋"/>
          <w:sz w:val="32"/>
          <w:szCs w:val="32"/>
          <w:highlight w:val="yellow"/>
        </w:rPr>
        <w:t>4</w:t>
      </w:r>
      <w:r>
        <w:rPr>
          <w:rFonts w:hint="eastAsia" w:ascii="仿宋" w:hAnsi="仿宋" w:eastAsia="仿宋"/>
          <w:sz w:val="32"/>
          <w:szCs w:val="32"/>
          <w:highlight w:val="yellow"/>
        </w:rPr>
        <w:t>月</w:t>
      </w:r>
      <w:r>
        <w:rPr>
          <w:rFonts w:hint="eastAsia" w:ascii="仿宋" w:hAnsi="仿宋" w:eastAsia="仿宋"/>
          <w:sz w:val="32"/>
          <w:szCs w:val="32"/>
          <w:highlight w:val="yellow"/>
          <w:lang w:val="en-US" w:eastAsia="zh-CN"/>
        </w:rPr>
        <w:t>11</w:t>
      </w:r>
      <w:r>
        <w:rPr>
          <w:rFonts w:hint="eastAsia" w:ascii="仿宋" w:hAnsi="仿宋" w:eastAsia="仿宋"/>
          <w:sz w:val="32"/>
          <w:szCs w:val="32"/>
          <w:highlight w:val="yellow"/>
        </w:rPr>
        <w:t>日</w:t>
      </w:r>
      <w:r>
        <w:rPr>
          <w:rFonts w:hint="eastAsia" w:ascii="仿宋" w:hAnsi="仿宋" w:eastAsia="仿宋"/>
          <w:sz w:val="32"/>
          <w:szCs w:val="32"/>
        </w:rPr>
        <w:t>举行基层团支部书记专项赛。请</w:t>
      </w:r>
      <w:r>
        <w:rPr>
          <w:rFonts w:ascii="仿宋" w:hAnsi="仿宋" w:eastAsia="仿宋"/>
          <w:sz w:val="32"/>
          <w:szCs w:val="32"/>
        </w:rPr>
        <w:t>所有</w:t>
      </w:r>
      <w:r>
        <w:rPr>
          <w:rFonts w:hint="eastAsia" w:ascii="仿宋" w:hAnsi="仿宋" w:eastAsia="仿宋"/>
          <w:sz w:val="32"/>
          <w:szCs w:val="32"/>
        </w:rPr>
        <w:t>团支部（含功能型团支部）书记</w:t>
      </w:r>
      <w:r>
        <w:rPr>
          <w:rFonts w:ascii="仿宋" w:hAnsi="仿宋" w:eastAsia="仿宋"/>
          <w:sz w:val="32"/>
          <w:szCs w:val="32"/>
        </w:rPr>
        <w:t>（</w:t>
      </w:r>
      <w:r>
        <w:rPr>
          <w:rFonts w:hint="eastAsia" w:ascii="仿宋" w:hAnsi="仿宋" w:eastAsia="仿宋"/>
          <w:sz w:val="32"/>
          <w:szCs w:val="32"/>
          <w:lang w:eastAsia="zh-Hans"/>
        </w:rPr>
        <w:t>含研究生团支部</w:t>
      </w:r>
      <w:r>
        <w:rPr>
          <w:rFonts w:ascii="仿宋" w:hAnsi="仿宋" w:eastAsia="仿宋"/>
          <w:sz w:val="32"/>
          <w:szCs w:val="32"/>
          <w:lang w:eastAsia="zh-Hans"/>
        </w:rPr>
        <w:t>）</w:t>
      </w:r>
      <w:r>
        <w:rPr>
          <w:rFonts w:ascii="仿宋" w:hAnsi="仿宋" w:eastAsia="仿宋"/>
          <w:sz w:val="32"/>
          <w:szCs w:val="32"/>
        </w:rPr>
        <w:t>认真备赛，推荐优秀选手并提交相应材料。</w:t>
      </w:r>
      <w:r>
        <w:rPr>
          <w:rFonts w:hint="eastAsia" w:ascii="仿宋" w:hAnsi="仿宋" w:eastAsia="仿宋"/>
          <w:color w:val="auto"/>
          <w:sz w:val="32"/>
          <w:szCs w:val="32"/>
          <w:lang w:eastAsia="zh-Hans"/>
        </w:rPr>
        <w:t>院赛内容</w:t>
      </w:r>
      <w:r>
        <w:rPr>
          <w:rFonts w:hint="eastAsia" w:ascii="仿宋" w:hAnsi="仿宋" w:eastAsia="仿宋"/>
          <w:color w:val="auto"/>
          <w:sz w:val="32"/>
          <w:szCs w:val="32"/>
        </w:rPr>
        <w:t>为主题团课（PPT）展示,团课时长为6分钟内，并提前提交讲稿。讲稿字数不超过</w:t>
      </w:r>
      <w:r>
        <w:rPr>
          <w:rFonts w:hint="eastAsia" w:ascii="仿宋" w:hAnsi="仿宋" w:eastAsia="仿宋"/>
          <w:color w:val="auto"/>
          <w:sz w:val="32"/>
          <w:szCs w:val="32"/>
          <w:lang w:val="en-US" w:eastAsia="zh-CN"/>
        </w:rPr>
        <w:t>2000</w:t>
      </w:r>
      <w:r>
        <w:rPr>
          <w:rFonts w:hint="eastAsia" w:ascii="仿宋" w:hAnsi="仿宋" w:eastAsia="仿宋"/>
          <w:color w:val="auto"/>
          <w:sz w:val="32"/>
          <w:szCs w:val="32"/>
        </w:rPr>
        <w:t>字，文章标题用二号黑体，分1或2行居中排列，正文采用三号宋体字，行距固定28磅。</w:t>
      </w:r>
    </w:p>
    <w:p w14:paraId="32FA0AAF">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四、奖项设置</w:t>
      </w:r>
    </w:p>
    <w:p w14:paraId="3D78AB00">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比赛设特等奖、一等奖、二等奖、三等奖若干名。</w:t>
      </w:r>
    </w:p>
    <w:p w14:paraId="456FE8C3">
      <w:pPr>
        <w:spacing w:line="560" w:lineRule="exact"/>
        <w:ind w:firstLine="640" w:firstLineChars="200"/>
        <w:rPr>
          <w:rFonts w:hint="eastAsia" w:ascii="仿宋" w:hAnsi="仿宋" w:eastAsia="黑体"/>
          <w:sz w:val="32"/>
          <w:szCs w:val="32"/>
        </w:rPr>
      </w:pPr>
      <w:r>
        <w:rPr>
          <w:rFonts w:hint="eastAsia" w:ascii="黑体" w:hAnsi="黑体" w:eastAsia="黑体"/>
          <w:sz w:val="32"/>
          <w:szCs w:val="32"/>
        </w:rPr>
        <w:t>五、材料报送</w:t>
      </w:r>
    </w:p>
    <w:p w14:paraId="71415295">
      <w:pPr>
        <w:spacing w:line="560" w:lineRule="exact"/>
        <w:ind w:firstLine="640" w:firstLineChars="200"/>
        <w:jc w:val="both"/>
        <w:rPr>
          <w:rFonts w:hint="eastAsia" w:ascii="仿宋" w:hAnsi="仿宋" w:eastAsia="仿宋"/>
          <w:sz w:val="32"/>
          <w:szCs w:val="32"/>
        </w:rPr>
      </w:pPr>
      <w:r>
        <w:rPr>
          <w:rFonts w:hint="eastAsia" w:ascii="仿宋" w:hAnsi="仿宋" w:eastAsia="仿宋"/>
          <w:sz w:val="32"/>
          <w:szCs w:val="32"/>
          <w:lang w:eastAsia="zh-Hans"/>
        </w:rPr>
        <w:t>各团支部请于</w:t>
      </w:r>
      <w:r>
        <w:rPr>
          <w:rFonts w:ascii="仿宋" w:hAnsi="仿宋" w:eastAsia="仿宋"/>
          <w:sz w:val="32"/>
          <w:szCs w:val="32"/>
          <w:highlight w:val="yellow"/>
        </w:rPr>
        <w:t>4</w:t>
      </w:r>
      <w:r>
        <w:rPr>
          <w:rFonts w:hint="eastAsia" w:ascii="仿宋" w:hAnsi="仿宋" w:eastAsia="仿宋"/>
          <w:sz w:val="32"/>
          <w:szCs w:val="32"/>
          <w:highlight w:val="yellow"/>
        </w:rPr>
        <w:t>月</w:t>
      </w:r>
      <w:r>
        <w:rPr>
          <w:rFonts w:hint="eastAsia" w:ascii="仿宋" w:hAnsi="仿宋" w:eastAsia="仿宋"/>
          <w:sz w:val="32"/>
          <w:szCs w:val="32"/>
          <w:highlight w:val="yellow"/>
          <w:lang w:val="en-US" w:eastAsia="zh-CN"/>
        </w:rPr>
        <w:t>9</w:t>
      </w:r>
      <w:r>
        <w:rPr>
          <w:rFonts w:hint="eastAsia" w:ascii="仿宋" w:hAnsi="仿宋" w:eastAsia="仿宋"/>
          <w:sz w:val="32"/>
          <w:szCs w:val="32"/>
          <w:highlight w:val="yellow"/>
        </w:rPr>
        <w:t>日</w:t>
      </w:r>
      <w:r>
        <w:rPr>
          <w:rFonts w:hint="eastAsia" w:ascii="仿宋" w:hAnsi="仿宋" w:eastAsia="仿宋"/>
          <w:sz w:val="32"/>
          <w:szCs w:val="32"/>
        </w:rPr>
        <w:t>前，以团支部为单位提交参加</w:t>
      </w:r>
      <w:r>
        <w:rPr>
          <w:rFonts w:hint="eastAsia" w:ascii="仿宋" w:hAnsi="仿宋" w:eastAsia="仿宋"/>
          <w:sz w:val="32"/>
          <w:szCs w:val="32"/>
          <w:lang w:eastAsia="zh-Hans"/>
        </w:rPr>
        <w:t>院赛</w:t>
      </w:r>
      <w:r>
        <w:rPr>
          <w:rFonts w:hint="eastAsia" w:ascii="仿宋" w:hAnsi="仿宋" w:eastAsia="仿宋"/>
          <w:sz w:val="32"/>
          <w:szCs w:val="32"/>
        </w:rPr>
        <w:t>选手的相关材料（团课PPT、讲稿），材料命名为“团支部+思政技能大比武院赛报名”。</w:t>
      </w:r>
    </w:p>
    <w:p w14:paraId="720A24D9">
      <w:pPr>
        <w:spacing w:line="560" w:lineRule="exact"/>
        <w:ind w:firstLine="640" w:firstLineChars="200"/>
        <w:rPr>
          <w:rFonts w:hint="eastAsia" w:ascii="仿宋" w:hAnsi="仿宋" w:eastAsia="仿宋"/>
          <w:sz w:val="32"/>
          <w:szCs w:val="32"/>
          <w:lang w:eastAsia="zh-Hans"/>
        </w:rPr>
      </w:pPr>
      <w:r>
        <w:rPr>
          <w:rFonts w:hint="eastAsia" w:ascii="仿宋" w:hAnsi="仿宋" w:eastAsia="仿宋"/>
          <w:sz w:val="32"/>
          <w:szCs w:val="32"/>
        </w:rPr>
        <w:t>联 系 人：</w:t>
      </w:r>
      <w:r>
        <w:rPr>
          <w:rFonts w:hint="eastAsia" w:ascii="仿宋" w:hAnsi="仿宋" w:eastAsia="仿宋"/>
          <w:sz w:val="32"/>
          <w:szCs w:val="32"/>
          <w:lang w:eastAsia="zh-Hans"/>
        </w:rPr>
        <w:t>刘思怡</w:t>
      </w:r>
      <w:bookmarkStart w:id="0" w:name="_GoBack"/>
      <w:bookmarkEnd w:id="0"/>
    </w:p>
    <w:p w14:paraId="0A348974">
      <w:pPr>
        <w:spacing w:line="560" w:lineRule="exact"/>
        <w:ind w:firstLine="640" w:firstLineChars="200"/>
        <w:rPr>
          <w:rFonts w:hint="eastAsia" w:ascii="仿宋" w:hAnsi="仿宋" w:eastAsia="仿宋"/>
          <w:color w:val="auto"/>
          <w:sz w:val="32"/>
          <w:szCs w:val="32"/>
        </w:rPr>
      </w:pPr>
      <w:r>
        <w:rPr>
          <w:rFonts w:hint="eastAsia" w:ascii="仿宋" w:hAnsi="仿宋" w:eastAsia="仿宋"/>
          <w:sz w:val="32"/>
          <w:szCs w:val="32"/>
        </w:rPr>
        <w:t>电子邮箱：</w:t>
      </w:r>
      <w:r>
        <w:fldChar w:fldCharType="begin"/>
      </w:r>
      <w:r>
        <w:instrText xml:space="preserve"> HYPERLINK "mailto:yxyyounger@163.com" </w:instrText>
      </w:r>
      <w:r>
        <w:fldChar w:fldCharType="separate"/>
      </w:r>
      <w:r>
        <w:rPr>
          <w:rStyle w:val="10"/>
          <w:rFonts w:hint="eastAsia" w:ascii="仿宋" w:hAnsi="仿宋" w:eastAsia="仿宋"/>
          <w:sz w:val="32"/>
          <w:szCs w:val="32"/>
        </w:rPr>
        <w:t>yxyyounger</w:t>
      </w:r>
      <w:r>
        <w:rPr>
          <w:rStyle w:val="10"/>
          <w:rFonts w:ascii="仿宋" w:hAnsi="仿宋" w:eastAsia="仿宋"/>
          <w:sz w:val="32"/>
          <w:szCs w:val="32"/>
          <w:lang w:eastAsia="zh-Hans"/>
        </w:rPr>
        <w:t>@163</w:t>
      </w:r>
      <w:r>
        <w:rPr>
          <w:rStyle w:val="10"/>
          <w:rFonts w:hint="eastAsia" w:ascii="仿宋" w:hAnsi="仿宋" w:eastAsia="仿宋"/>
          <w:sz w:val="32"/>
          <w:szCs w:val="32"/>
          <w:lang w:eastAsia="zh-Hans"/>
        </w:rPr>
        <w:t>.com</w:t>
      </w:r>
      <w:r>
        <w:rPr>
          <w:rStyle w:val="10"/>
          <w:rFonts w:hint="eastAsia" w:ascii="仿宋" w:hAnsi="仿宋" w:eastAsia="仿宋"/>
          <w:sz w:val="32"/>
          <w:szCs w:val="32"/>
          <w:lang w:eastAsia="zh-Hans"/>
        </w:rPr>
        <w:fldChar w:fldCharType="end"/>
      </w:r>
    </w:p>
    <w:p w14:paraId="1C89DAEB">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附    件：选题指南及评审标准</w:t>
      </w:r>
    </w:p>
    <w:p w14:paraId="6FA0308D">
      <w:pPr>
        <w:spacing w:line="560" w:lineRule="exact"/>
        <w:jc w:val="right"/>
        <w:rPr>
          <w:rFonts w:hint="eastAsia" w:ascii="仿宋" w:hAnsi="仿宋" w:eastAsia="仿宋"/>
          <w:sz w:val="32"/>
          <w:szCs w:val="32"/>
        </w:rPr>
      </w:pPr>
    </w:p>
    <w:p w14:paraId="6F73807D">
      <w:pPr>
        <w:spacing w:line="560" w:lineRule="exact"/>
        <w:jc w:val="right"/>
        <w:rPr>
          <w:rFonts w:hint="eastAsia" w:ascii="仿宋" w:hAnsi="仿宋" w:eastAsia="仿宋"/>
          <w:sz w:val="32"/>
          <w:szCs w:val="32"/>
        </w:rPr>
      </w:pPr>
      <w:r>
        <w:rPr>
          <w:rFonts w:hint="eastAsia" w:ascii="仿宋" w:hAnsi="仿宋" w:eastAsia="仿宋"/>
          <w:sz w:val="32"/>
          <w:szCs w:val="32"/>
        </w:rPr>
        <w:t>共青团南京中医药大学</w:t>
      </w:r>
      <w:r>
        <w:rPr>
          <w:rFonts w:hint="eastAsia" w:ascii="仿宋" w:hAnsi="仿宋" w:eastAsia="仿宋"/>
          <w:sz w:val="32"/>
          <w:szCs w:val="32"/>
          <w:lang w:eastAsia="zh-Hans"/>
        </w:rPr>
        <w:t>药学院</w:t>
      </w:r>
      <w:r>
        <w:rPr>
          <w:rFonts w:hint="eastAsia" w:ascii="仿宋" w:hAnsi="仿宋" w:eastAsia="仿宋"/>
          <w:sz w:val="32"/>
          <w:szCs w:val="32"/>
        </w:rPr>
        <w:t>委员会</w:t>
      </w:r>
    </w:p>
    <w:p w14:paraId="3D153193">
      <w:pPr>
        <w:widowControl w:val="0"/>
        <w:wordWrap w:val="0"/>
        <w:jc w:val="right"/>
        <w:rPr>
          <w:rFonts w:hint="eastAsia"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 xml:space="preserve">年3月27日      </w:t>
      </w:r>
    </w:p>
    <w:p w14:paraId="711B991C">
      <w:pPr>
        <w:widowControl w:val="0"/>
        <w:rPr>
          <w:rFonts w:hint="eastAsia" w:ascii="仿宋" w:hAnsi="仿宋" w:eastAsia="仿宋"/>
          <w:sz w:val="32"/>
          <w:szCs w:val="32"/>
        </w:rPr>
      </w:pPr>
      <w:r>
        <w:rPr>
          <w:rFonts w:hint="eastAsia" w:ascii="仿宋" w:hAnsi="仿宋" w:eastAsia="仿宋"/>
          <w:sz w:val="32"/>
          <w:szCs w:val="32"/>
        </w:rPr>
        <w:t>附件：</w:t>
      </w:r>
    </w:p>
    <w:p w14:paraId="4ACDB6AA">
      <w:pPr>
        <w:widowControl w:val="0"/>
        <w:jc w:val="center"/>
        <w:rPr>
          <w:rFonts w:hint="eastAsia" w:ascii="黑体" w:hAnsi="黑体" w:eastAsia="黑体"/>
          <w:sz w:val="32"/>
          <w:szCs w:val="32"/>
        </w:rPr>
      </w:pPr>
      <w:r>
        <w:rPr>
          <w:rFonts w:hint="eastAsia" w:ascii="黑体" w:hAnsi="黑体" w:eastAsia="黑体"/>
          <w:sz w:val="32"/>
          <w:szCs w:val="32"/>
        </w:rPr>
        <w:t>江苏高校百校万名团干部思政技能大比武</w:t>
      </w:r>
    </w:p>
    <w:p w14:paraId="50E57C63">
      <w:pPr>
        <w:widowControl w:val="0"/>
        <w:jc w:val="center"/>
        <w:rPr>
          <w:rFonts w:hint="eastAsia" w:ascii="黑体" w:hAnsi="黑体" w:eastAsia="黑体"/>
          <w:sz w:val="32"/>
          <w:szCs w:val="32"/>
        </w:rPr>
      </w:pPr>
      <w:r>
        <w:rPr>
          <w:rFonts w:hint="eastAsia" w:ascii="黑体" w:hAnsi="黑体" w:eastAsia="黑体"/>
          <w:sz w:val="32"/>
          <w:szCs w:val="32"/>
        </w:rPr>
        <w:t>主题思政课、主题团课选题指南及评审标准</w:t>
      </w:r>
    </w:p>
    <w:p w14:paraId="0EE1B9A2">
      <w:pPr>
        <w:widowControl w:val="0"/>
        <w:rPr>
          <w:rFonts w:hint="eastAsia" w:ascii="仿宋" w:hAnsi="仿宋" w:eastAsia="仿宋"/>
          <w:sz w:val="32"/>
          <w:szCs w:val="32"/>
        </w:rPr>
      </w:pPr>
      <w:r>
        <w:rPr>
          <w:rFonts w:hint="eastAsia" w:ascii="仿宋" w:hAnsi="仿宋" w:eastAsia="仿宋"/>
          <w:sz w:val="32"/>
          <w:szCs w:val="32"/>
        </w:rPr>
        <w:t>一、课程形式</w:t>
      </w:r>
    </w:p>
    <w:p w14:paraId="049B4343">
      <w:pPr>
        <w:widowControl w:val="0"/>
        <w:ind w:firstLine="640" w:firstLineChars="200"/>
        <w:rPr>
          <w:rFonts w:hint="eastAsia" w:ascii="仿宋" w:hAnsi="仿宋" w:eastAsia="仿宋"/>
          <w:sz w:val="32"/>
          <w:szCs w:val="32"/>
        </w:rPr>
      </w:pPr>
      <w:r>
        <w:rPr>
          <w:rFonts w:hint="eastAsia" w:ascii="仿宋" w:hAnsi="仿宋" w:eastAsia="仿宋"/>
          <w:sz w:val="32"/>
          <w:szCs w:val="32"/>
        </w:rPr>
        <w:t>可在以下两类课程形式中任选其一。</w:t>
      </w:r>
    </w:p>
    <w:p w14:paraId="537018C9">
      <w:pPr>
        <w:widowControl w:val="0"/>
        <w:ind w:firstLine="640" w:firstLineChars="200"/>
        <w:rPr>
          <w:rFonts w:hint="eastAsia" w:ascii="仿宋" w:hAnsi="仿宋" w:eastAsia="仿宋"/>
          <w:sz w:val="32"/>
          <w:szCs w:val="32"/>
        </w:rPr>
      </w:pPr>
      <w:r>
        <w:rPr>
          <w:rFonts w:hint="eastAsia" w:ascii="仿宋" w:hAnsi="仿宋" w:eastAsia="仿宋"/>
          <w:sz w:val="32"/>
          <w:szCs w:val="32"/>
        </w:rPr>
        <w:t>讲授研讨类课程。应用场景主要为课堂教学或团支部、团小组等小范围学习讨论，可采取主题式、案例式、辨析式、模拟式、研讨式、沉浸式、互动式等方式。</w:t>
      </w:r>
    </w:p>
    <w:p w14:paraId="0E73C0BF">
      <w:pPr>
        <w:widowControl w:val="0"/>
        <w:ind w:firstLine="640" w:firstLineChars="200"/>
        <w:rPr>
          <w:rFonts w:hint="eastAsia" w:ascii="仿宋" w:hAnsi="仿宋" w:eastAsia="仿宋"/>
          <w:sz w:val="32"/>
          <w:szCs w:val="32"/>
        </w:rPr>
      </w:pPr>
      <w:r>
        <w:rPr>
          <w:rFonts w:hint="eastAsia" w:ascii="仿宋" w:hAnsi="仿宋" w:eastAsia="仿宋"/>
          <w:sz w:val="32"/>
          <w:szCs w:val="32"/>
        </w:rPr>
        <w:t>实践研学类课程。应用场景主要为校内外各类实践教育场所，可结合参观研学、团日活动、志愿服务、社会实践、实习锻炼等开展。</w:t>
      </w:r>
    </w:p>
    <w:p w14:paraId="09B61E2E">
      <w:pPr>
        <w:widowControl w:val="0"/>
        <w:rPr>
          <w:rFonts w:hint="eastAsia" w:ascii="仿宋" w:hAnsi="仿宋" w:eastAsia="仿宋"/>
          <w:sz w:val="32"/>
          <w:szCs w:val="32"/>
        </w:rPr>
      </w:pPr>
      <w:r>
        <w:rPr>
          <w:rFonts w:hint="eastAsia" w:ascii="仿宋" w:hAnsi="仿宋" w:eastAsia="仿宋"/>
          <w:sz w:val="32"/>
          <w:szCs w:val="32"/>
        </w:rPr>
        <w:t>二、选题方向</w:t>
      </w:r>
    </w:p>
    <w:p w14:paraId="2AB0866E">
      <w:pPr>
        <w:widowControl w:val="0"/>
        <w:ind w:firstLine="640" w:firstLineChars="200"/>
        <w:rPr>
          <w:rFonts w:hint="eastAsia" w:ascii="仿宋" w:hAnsi="仿宋" w:eastAsia="仿宋"/>
          <w:sz w:val="32"/>
          <w:szCs w:val="32"/>
        </w:rPr>
      </w:pPr>
      <w:r>
        <w:rPr>
          <w:rFonts w:hint="eastAsia" w:ascii="仿宋" w:hAnsi="仿宋" w:eastAsia="仿宋"/>
          <w:sz w:val="32"/>
          <w:szCs w:val="32"/>
        </w:rPr>
        <w:t>提供方向性题目，参赛选手可结合实际自拟具体思政课、团课题目，尽量选择小切口展开。注重围绕青年日常学习、工作、生活关切和思想困惑，立足青年视角、以小见大，避免大而化之、面面俱到。</w:t>
      </w:r>
    </w:p>
    <w:p w14:paraId="5121FAE2">
      <w:pPr>
        <w:widowControl w:val="0"/>
        <w:ind w:firstLine="640" w:firstLineChars="200"/>
        <w:rPr>
          <w:rFonts w:hint="eastAsia" w:ascii="仿宋" w:hAnsi="仿宋" w:eastAsia="仿宋"/>
          <w:sz w:val="32"/>
          <w:szCs w:val="32"/>
        </w:rPr>
      </w:pPr>
      <w:r>
        <w:rPr>
          <w:rFonts w:hint="eastAsia" w:ascii="仿宋" w:hAnsi="仿宋" w:eastAsia="仿宋"/>
          <w:sz w:val="32"/>
          <w:szCs w:val="32"/>
        </w:rPr>
        <w:t>（一）党的创新理论类</w:t>
      </w:r>
    </w:p>
    <w:p w14:paraId="1FA29089">
      <w:pPr>
        <w:widowControl w:val="0"/>
        <w:ind w:firstLine="640" w:firstLineChars="200"/>
        <w:rPr>
          <w:rFonts w:hint="eastAsia" w:ascii="仿宋" w:hAnsi="仿宋" w:eastAsia="仿宋"/>
          <w:sz w:val="32"/>
          <w:szCs w:val="32"/>
        </w:rPr>
      </w:pPr>
      <w:r>
        <w:rPr>
          <w:rFonts w:hint="eastAsia" w:ascii="仿宋" w:hAnsi="仿宋" w:eastAsia="仿宋"/>
          <w:sz w:val="32"/>
          <w:szCs w:val="32"/>
        </w:rPr>
        <w:t>重点：着眼深入浅出做好习近平新时代中国特色社会主义思想的宣传阐释，面向青年讲清楚道理、回应好关切，帮助青年学生加深对新时代党的创新理论的政治认同、思想认同、理论认同、情感认同。</w:t>
      </w:r>
    </w:p>
    <w:p w14:paraId="3A8FA8D8">
      <w:pPr>
        <w:widowControl w:val="0"/>
        <w:ind w:firstLine="640" w:firstLineChars="200"/>
        <w:rPr>
          <w:rFonts w:hint="eastAsia" w:ascii="仿宋" w:hAnsi="仿宋" w:eastAsia="仿宋"/>
          <w:sz w:val="32"/>
          <w:szCs w:val="32"/>
        </w:rPr>
      </w:pPr>
      <w:r>
        <w:rPr>
          <w:rFonts w:hint="eastAsia" w:ascii="仿宋" w:hAnsi="仿宋" w:eastAsia="仿宋"/>
          <w:sz w:val="32"/>
          <w:szCs w:val="32"/>
        </w:rPr>
        <w:t>1．中国式现代化相关内容</w:t>
      </w:r>
    </w:p>
    <w:p w14:paraId="344D2E7A">
      <w:pPr>
        <w:widowControl w:val="0"/>
        <w:ind w:firstLine="640" w:firstLineChars="200"/>
        <w:rPr>
          <w:rFonts w:hint="eastAsia" w:ascii="仿宋" w:hAnsi="仿宋" w:eastAsia="仿宋"/>
          <w:sz w:val="32"/>
          <w:szCs w:val="32"/>
        </w:rPr>
      </w:pPr>
      <w:r>
        <w:rPr>
          <w:rFonts w:hint="eastAsia" w:ascii="仿宋" w:hAnsi="仿宋" w:eastAsia="仿宋"/>
          <w:sz w:val="32"/>
          <w:szCs w:val="32"/>
        </w:rPr>
        <w:t>2．习近平经济思想相关内容</w:t>
      </w:r>
    </w:p>
    <w:p w14:paraId="0FFCC727">
      <w:pPr>
        <w:widowControl w:val="0"/>
        <w:ind w:firstLine="640" w:firstLineChars="200"/>
        <w:rPr>
          <w:rFonts w:hint="eastAsia" w:ascii="仿宋" w:hAnsi="仿宋" w:eastAsia="仿宋"/>
          <w:sz w:val="32"/>
          <w:szCs w:val="32"/>
        </w:rPr>
      </w:pPr>
      <w:r>
        <w:rPr>
          <w:rFonts w:hint="eastAsia" w:ascii="仿宋" w:hAnsi="仿宋" w:eastAsia="仿宋"/>
          <w:sz w:val="32"/>
          <w:szCs w:val="32"/>
        </w:rPr>
        <w:t>3．习近平法治思想相关内容</w:t>
      </w:r>
    </w:p>
    <w:p w14:paraId="6F70EBEC">
      <w:pPr>
        <w:widowControl w:val="0"/>
        <w:ind w:firstLine="640" w:firstLineChars="200"/>
        <w:rPr>
          <w:rFonts w:hint="eastAsia" w:ascii="仿宋" w:hAnsi="仿宋" w:eastAsia="仿宋"/>
          <w:sz w:val="32"/>
          <w:szCs w:val="32"/>
        </w:rPr>
      </w:pPr>
      <w:r>
        <w:rPr>
          <w:rFonts w:hint="eastAsia" w:ascii="仿宋" w:hAnsi="仿宋" w:eastAsia="仿宋"/>
          <w:sz w:val="32"/>
          <w:szCs w:val="32"/>
        </w:rPr>
        <w:t>4．习近平生态文明思想相关内容</w:t>
      </w:r>
    </w:p>
    <w:p w14:paraId="5A17A4E2">
      <w:pPr>
        <w:widowControl w:val="0"/>
        <w:ind w:firstLine="640" w:firstLineChars="200"/>
        <w:rPr>
          <w:rFonts w:hint="eastAsia" w:ascii="仿宋" w:hAnsi="仿宋" w:eastAsia="仿宋"/>
          <w:sz w:val="32"/>
          <w:szCs w:val="32"/>
        </w:rPr>
      </w:pPr>
      <w:r>
        <w:rPr>
          <w:rFonts w:hint="eastAsia" w:ascii="仿宋" w:hAnsi="仿宋" w:eastAsia="仿宋"/>
          <w:sz w:val="32"/>
          <w:szCs w:val="32"/>
        </w:rPr>
        <w:t>5．习近平强军思想相关内容</w:t>
      </w:r>
    </w:p>
    <w:p w14:paraId="581D5E86">
      <w:pPr>
        <w:widowControl w:val="0"/>
        <w:ind w:firstLine="640" w:firstLineChars="200"/>
        <w:rPr>
          <w:rFonts w:hint="eastAsia" w:ascii="仿宋" w:hAnsi="仿宋" w:eastAsia="仿宋"/>
          <w:sz w:val="32"/>
          <w:szCs w:val="32"/>
        </w:rPr>
      </w:pPr>
      <w:r>
        <w:rPr>
          <w:rFonts w:hint="eastAsia" w:ascii="仿宋" w:hAnsi="仿宋" w:eastAsia="仿宋"/>
          <w:sz w:val="32"/>
          <w:szCs w:val="32"/>
        </w:rPr>
        <w:t>6．习近平外交思想相关内容</w:t>
      </w:r>
    </w:p>
    <w:p w14:paraId="79C00E26">
      <w:pPr>
        <w:widowControl w:val="0"/>
        <w:ind w:firstLine="640" w:firstLineChars="200"/>
        <w:rPr>
          <w:rFonts w:hint="eastAsia" w:ascii="仿宋" w:hAnsi="仿宋" w:eastAsia="仿宋"/>
          <w:sz w:val="32"/>
          <w:szCs w:val="32"/>
        </w:rPr>
      </w:pPr>
      <w:r>
        <w:rPr>
          <w:rFonts w:hint="eastAsia" w:ascii="仿宋" w:hAnsi="仿宋" w:eastAsia="仿宋"/>
          <w:sz w:val="32"/>
          <w:szCs w:val="32"/>
        </w:rPr>
        <w:t>7．习近平文化思想相关内容</w:t>
      </w:r>
    </w:p>
    <w:p w14:paraId="57EBAEFB">
      <w:pPr>
        <w:widowControl w:val="0"/>
        <w:ind w:firstLine="640" w:firstLineChars="200"/>
        <w:rPr>
          <w:rFonts w:hint="eastAsia" w:ascii="仿宋" w:hAnsi="仿宋" w:eastAsia="仿宋"/>
          <w:sz w:val="32"/>
          <w:szCs w:val="32"/>
        </w:rPr>
      </w:pPr>
      <w:r>
        <w:rPr>
          <w:rFonts w:hint="eastAsia" w:ascii="仿宋" w:hAnsi="仿宋" w:eastAsia="仿宋"/>
          <w:sz w:val="32"/>
          <w:szCs w:val="32"/>
        </w:rPr>
        <w:t>8．习近平总书记关于青年工作的重要思想相关内容</w:t>
      </w:r>
    </w:p>
    <w:p w14:paraId="07A4B1AC">
      <w:pPr>
        <w:widowControl w:val="0"/>
        <w:ind w:firstLine="640" w:firstLineChars="200"/>
        <w:rPr>
          <w:rFonts w:hint="eastAsia" w:ascii="仿宋" w:hAnsi="仿宋" w:eastAsia="仿宋"/>
          <w:sz w:val="32"/>
          <w:szCs w:val="32"/>
        </w:rPr>
      </w:pPr>
      <w:r>
        <w:rPr>
          <w:rFonts w:hint="eastAsia" w:ascii="仿宋" w:hAnsi="仿宋" w:eastAsia="仿宋"/>
          <w:sz w:val="32"/>
          <w:szCs w:val="32"/>
        </w:rPr>
        <w:t>9．习近平总书记关于其他领域工作的重要论述相关内容</w:t>
      </w:r>
    </w:p>
    <w:p w14:paraId="5440C8D5">
      <w:pPr>
        <w:widowControl w:val="0"/>
        <w:ind w:firstLine="640" w:firstLineChars="200"/>
        <w:rPr>
          <w:rFonts w:hint="eastAsia" w:ascii="仿宋" w:hAnsi="仿宋" w:eastAsia="仿宋"/>
          <w:sz w:val="32"/>
          <w:szCs w:val="32"/>
        </w:rPr>
      </w:pPr>
      <w:r>
        <w:rPr>
          <w:rFonts w:hint="eastAsia" w:ascii="仿宋" w:hAnsi="仿宋" w:eastAsia="仿宋"/>
          <w:sz w:val="32"/>
          <w:szCs w:val="32"/>
        </w:rPr>
        <w:t>（二）青年建功类</w:t>
      </w:r>
    </w:p>
    <w:p w14:paraId="546579CE">
      <w:pPr>
        <w:widowControl w:val="0"/>
        <w:ind w:firstLine="640" w:firstLineChars="200"/>
        <w:rPr>
          <w:rFonts w:hint="eastAsia" w:ascii="仿宋" w:hAnsi="仿宋" w:eastAsia="仿宋"/>
          <w:sz w:val="32"/>
          <w:szCs w:val="32"/>
        </w:rPr>
      </w:pPr>
      <w:r>
        <w:rPr>
          <w:rFonts w:hint="eastAsia" w:ascii="仿宋" w:hAnsi="仿宋" w:eastAsia="仿宋"/>
          <w:sz w:val="32"/>
          <w:szCs w:val="32"/>
        </w:rPr>
        <w:t>重点：着眼贯彻习近平总书记对新时代中国青年的希望要求和对江苏工作历次重要讲话重要指示精神，立足党和国家重大战略部署，结合青年学生专业特点、个人兴趣、职业规划，通过政策解读、榜样引领、参观寻访等，引领青年响应党的号召，在科技创新、乡村振兴、绿色发展、社会服务、卫国戍边等各领域各方面工作中挺膺担当。</w:t>
      </w:r>
    </w:p>
    <w:p w14:paraId="53FEB94A">
      <w:pPr>
        <w:widowControl w:val="0"/>
        <w:ind w:firstLine="640" w:firstLineChars="200"/>
        <w:rPr>
          <w:rFonts w:hint="eastAsia" w:ascii="仿宋" w:hAnsi="仿宋" w:eastAsia="仿宋"/>
          <w:sz w:val="32"/>
          <w:szCs w:val="32"/>
        </w:rPr>
      </w:pPr>
      <w:r>
        <w:rPr>
          <w:rFonts w:hint="eastAsia" w:ascii="仿宋" w:hAnsi="仿宋" w:eastAsia="仿宋"/>
          <w:sz w:val="32"/>
          <w:szCs w:val="32"/>
        </w:rPr>
        <w:t>10．习近平总书记的青年寄语相关内容</w:t>
      </w:r>
    </w:p>
    <w:p w14:paraId="6E172379">
      <w:pPr>
        <w:widowControl w:val="0"/>
        <w:ind w:firstLine="640" w:firstLineChars="200"/>
        <w:rPr>
          <w:rFonts w:hint="eastAsia" w:ascii="仿宋" w:hAnsi="仿宋" w:eastAsia="仿宋"/>
          <w:sz w:val="32"/>
          <w:szCs w:val="32"/>
        </w:rPr>
      </w:pPr>
      <w:r>
        <w:rPr>
          <w:rFonts w:hint="eastAsia" w:ascii="仿宋" w:hAnsi="仿宋" w:eastAsia="仿宋"/>
          <w:sz w:val="32"/>
          <w:szCs w:val="32"/>
        </w:rPr>
        <w:t>11．区域协调发展战略和区域重大战略等相关内容</w:t>
      </w:r>
    </w:p>
    <w:p w14:paraId="08B8BFC3">
      <w:pPr>
        <w:widowControl w:val="0"/>
        <w:ind w:firstLine="640" w:firstLineChars="200"/>
        <w:rPr>
          <w:rFonts w:hint="eastAsia" w:ascii="仿宋" w:hAnsi="仿宋" w:eastAsia="仿宋"/>
          <w:sz w:val="32"/>
          <w:szCs w:val="32"/>
        </w:rPr>
      </w:pPr>
      <w:r>
        <w:rPr>
          <w:rFonts w:hint="eastAsia" w:ascii="仿宋" w:hAnsi="仿宋" w:eastAsia="仿宋"/>
          <w:sz w:val="32"/>
          <w:szCs w:val="32"/>
        </w:rPr>
        <w:t>主要围绕党的二十大确定的深入实施区域协调发展战略、区域重大战略、主体功能区战略、新型城镇化战略等展开。包括：京津冀协同发展、长江经济带发展、粤港澳大湾区建设、长三角一体化发展、黄河流域生态保护和高质量发展，中部地区崛起、东北全面振兴等。</w:t>
      </w:r>
    </w:p>
    <w:p w14:paraId="32A15769">
      <w:pPr>
        <w:widowControl w:val="0"/>
        <w:ind w:firstLine="640" w:firstLineChars="200"/>
        <w:rPr>
          <w:rFonts w:hint="eastAsia" w:ascii="仿宋" w:hAnsi="仿宋" w:eastAsia="仿宋"/>
          <w:sz w:val="32"/>
          <w:szCs w:val="32"/>
        </w:rPr>
      </w:pPr>
      <w:r>
        <w:rPr>
          <w:rFonts w:hint="eastAsia" w:ascii="仿宋" w:hAnsi="仿宋" w:eastAsia="仿宋"/>
          <w:sz w:val="32"/>
          <w:szCs w:val="32"/>
        </w:rPr>
        <w:t>（三）历史文化类</w:t>
      </w:r>
    </w:p>
    <w:p w14:paraId="72A31A21">
      <w:pPr>
        <w:widowControl w:val="0"/>
        <w:ind w:firstLine="640" w:firstLineChars="200"/>
        <w:rPr>
          <w:rFonts w:hint="eastAsia" w:ascii="仿宋" w:hAnsi="仿宋" w:eastAsia="仿宋"/>
          <w:sz w:val="32"/>
          <w:szCs w:val="32"/>
        </w:rPr>
      </w:pPr>
      <w:r>
        <w:rPr>
          <w:rFonts w:hint="eastAsia" w:ascii="仿宋" w:hAnsi="仿宋" w:eastAsia="仿宋"/>
          <w:sz w:val="32"/>
          <w:szCs w:val="32"/>
        </w:rPr>
        <w:t>重点：2024年是中华人民共和国成立75周年，着眼充分利</w:t>
      </w:r>
    </w:p>
    <w:p w14:paraId="762E4CA9">
      <w:pPr>
        <w:widowControl w:val="0"/>
        <w:ind w:firstLine="640" w:firstLineChars="200"/>
        <w:rPr>
          <w:rFonts w:hint="eastAsia" w:ascii="仿宋" w:hAnsi="仿宋" w:eastAsia="仿宋"/>
          <w:sz w:val="32"/>
          <w:szCs w:val="32"/>
        </w:rPr>
      </w:pPr>
      <w:r>
        <w:rPr>
          <w:rFonts w:hint="eastAsia" w:ascii="仿宋" w:hAnsi="仿宋" w:eastAsia="仿宋"/>
          <w:sz w:val="32"/>
          <w:szCs w:val="32"/>
        </w:rPr>
        <w:t>用丰厚的历史文化资源，讲好中国的故事、党的故事、革命的故事、英雄的故事，用“活起来”的历史教育青年、启迪青年、感化青年、鼓舞青年，避免知识化，引导青年厚植爱党、爱国、爱社会主义的情感，激发不懈奋进的精神力量。</w:t>
      </w:r>
    </w:p>
    <w:p w14:paraId="693FE627">
      <w:pPr>
        <w:widowControl w:val="0"/>
        <w:ind w:firstLine="640" w:firstLineChars="200"/>
        <w:rPr>
          <w:rFonts w:hint="eastAsia" w:ascii="仿宋" w:hAnsi="仿宋" w:eastAsia="仿宋"/>
          <w:sz w:val="32"/>
          <w:szCs w:val="32"/>
        </w:rPr>
      </w:pPr>
      <w:r>
        <w:rPr>
          <w:rFonts w:hint="eastAsia" w:ascii="仿宋" w:hAnsi="仿宋" w:eastAsia="仿宋"/>
          <w:sz w:val="32"/>
          <w:szCs w:val="32"/>
        </w:rPr>
        <w:t>12．党的精神谱系相关内容</w:t>
      </w:r>
    </w:p>
    <w:p w14:paraId="536D629F">
      <w:pPr>
        <w:widowControl w:val="0"/>
        <w:ind w:firstLine="640" w:firstLineChars="200"/>
        <w:rPr>
          <w:rFonts w:hint="eastAsia" w:ascii="仿宋" w:hAnsi="仿宋" w:eastAsia="仿宋"/>
          <w:sz w:val="32"/>
          <w:szCs w:val="32"/>
        </w:rPr>
      </w:pPr>
      <w:r>
        <w:rPr>
          <w:rFonts w:hint="eastAsia" w:ascii="仿宋" w:hAnsi="仿宋" w:eastAsia="仿宋"/>
          <w:sz w:val="32"/>
          <w:szCs w:val="32"/>
        </w:rPr>
        <w:t>以第一批纳入中国共产党人精神谱系的46个伟大精神为主。包括：建党精神；井冈山精神、苏区精神、长征精神、遵义会议精神、延安精神、抗战精神、红岩精神、西柏坡精神、照金精神、东北抗联精神、南泥湾精神、太行精神（吕梁精神）、大别山精神、沂蒙精神、老区精神、张思德精神；抗美援朝精神、“两弹一星”精神、雷锋精神、焦裕禄精神、大庆精神（铁人精神）、红旗渠精神、北大荒精神、塞罕坝精神、“两路”精神、老西藏精神（孔繁森精神）、西迁精神、王杰精神；改革开放精神、特区精神、抗洪精神、抗击“非典”精神、抗震救灾精神、载人航天精神、劳模精神（劳动精神、工匠精神）、青藏铁路精神、女排精神；脱贫攻坚精神、抗疫精神、“三牛”精神、科学家精神、企业家精神、探月精神、新时代北斗精神、丝路精神。</w:t>
      </w:r>
    </w:p>
    <w:p w14:paraId="266D62A7">
      <w:pPr>
        <w:widowControl w:val="0"/>
        <w:ind w:firstLine="640" w:firstLineChars="200"/>
        <w:rPr>
          <w:rFonts w:hint="eastAsia" w:ascii="仿宋" w:hAnsi="仿宋" w:eastAsia="仿宋"/>
          <w:sz w:val="32"/>
          <w:szCs w:val="32"/>
        </w:rPr>
      </w:pPr>
      <w:r>
        <w:rPr>
          <w:rFonts w:hint="eastAsia" w:ascii="仿宋" w:hAnsi="仿宋" w:eastAsia="仿宋"/>
          <w:sz w:val="32"/>
          <w:szCs w:val="32"/>
        </w:rPr>
        <w:t>13．党史、新中国史、改革开放史、社会主义发展史、中华民族发展史相关内容</w:t>
      </w:r>
    </w:p>
    <w:p w14:paraId="4D6E61EE">
      <w:pPr>
        <w:widowControl w:val="0"/>
        <w:ind w:firstLine="640" w:firstLineChars="200"/>
        <w:rPr>
          <w:rFonts w:hint="eastAsia" w:ascii="仿宋" w:hAnsi="仿宋" w:eastAsia="仿宋"/>
          <w:sz w:val="32"/>
          <w:szCs w:val="32"/>
        </w:rPr>
      </w:pPr>
      <w:r>
        <w:rPr>
          <w:rFonts w:hint="eastAsia" w:ascii="仿宋" w:hAnsi="仿宋" w:eastAsia="仿宋"/>
          <w:sz w:val="32"/>
          <w:szCs w:val="32"/>
        </w:rPr>
        <w:t>14．社会主义核心价值观与中华优秀传统文化相关内容</w:t>
      </w:r>
    </w:p>
    <w:p w14:paraId="1EAFC952">
      <w:pPr>
        <w:widowControl w:val="0"/>
        <w:ind w:firstLine="640" w:firstLineChars="200"/>
        <w:rPr>
          <w:rFonts w:hint="eastAsia" w:ascii="仿宋" w:hAnsi="仿宋" w:eastAsia="仿宋"/>
          <w:sz w:val="32"/>
          <w:szCs w:val="32"/>
        </w:rPr>
      </w:pPr>
      <w:r>
        <w:rPr>
          <w:rFonts w:hint="eastAsia" w:ascii="仿宋" w:hAnsi="仿宋" w:eastAsia="仿宋"/>
          <w:sz w:val="32"/>
          <w:szCs w:val="32"/>
        </w:rPr>
        <w:t>（四）团的知识类</w:t>
      </w:r>
    </w:p>
    <w:p w14:paraId="58CB0ACE">
      <w:pPr>
        <w:widowControl w:val="0"/>
        <w:ind w:firstLine="640" w:firstLineChars="200"/>
        <w:rPr>
          <w:rFonts w:hint="eastAsia" w:ascii="仿宋" w:hAnsi="仿宋" w:eastAsia="仿宋"/>
          <w:sz w:val="32"/>
          <w:szCs w:val="32"/>
        </w:rPr>
      </w:pPr>
      <w:r>
        <w:rPr>
          <w:rFonts w:hint="eastAsia" w:ascii="仿宋" w:hAnsi="仿宋" w:eastAsia="仿宋"/>
          <w:sz w:val="32"/>
          <w:szCs w:val="32"/>
        </w:rPr>
        <w:t>重点：着眼党、团、队育人链条相衔接、相贯通，讲好团的历史和团的基本知识，引导青年争做有理想、敢担当、能吃苦、肯奋斗的新时代好青年，引导团员做到“五个模范、五个带头”，增强团员意识、彰显先进性。</w:t>
      </w:r>
    </w:p>
    <w:p w14:paraId="006A6DA3">
      <w:pPr>
        <w:widowControl w:val="0"/>
        <w:ind w:firstLine="640" w:firstLineChars="200"/>
        <w:rPr>
          <w:rFonts w:hint="eastAsia" w:ascii="仿宋" w:hAnsi="仿宋" w:eastAsia="仿宋"/>
          <w:sz w:val="32"/>
          <w:szCs w:val="32"/>
        </w:rPr>
      </w:pPr>
      <w:r>
        <w:rPr>
          <w:rFonts w:hint="eastAsia" w:ascii="仿宋" w:hAnsi="仿宋" w:eastAsia="仿宋"/>
          <w:sz w:val="32"/>
          <w:szCs w:val="32"/>
        </w:rPr>
        <w:t>15．党领导的中国青年运动史和共青团史相关内容</w:t>
      </w:r>
    </w:p>
    <w:p w14:paraId="0DFCAFCE">
      <w:pPr>
        <w:widowControl w:val="0"/>
        <w:ind w:firstLine="640" w:firstLineChars="200"/>
        <w:rPr>
          <w:rFonts w:hint="eastAsia" w:ascii="仿宋" w:hAnsi="仿宋" w:eastAsia="仿宋"/>
          <w:sz w:val="32"/>
          <w:szCs w:val="32"/>
        </w:rPr>
      </w:pPr>
      <w:r>
        <w:rPr>
          <w:rFonts w:hint="eastAsia" w:ascii="仿宋" w:hAnsi="仿宋" w:eastAsia="仿宋"/>
          <w:sz w:val="32"/>
          <w:szCs w:val="32"/>
        </w:rPr>
        <w:t>16．共青团基本知识相关内容</w:t>
      </w:r>
    </w:p>
    <w:p w14:paraId="31F11E0C">
      <w:pPr>
        <w:widowControl w:val="0"/>
        <w:ind w:firstLine="640" w:firstLineChars="200"/>
        <w:rPr>
          <w:rFonts w:hint="eastAsia" w:ascii="仿宋" w:hAnsi="仿宋" w:eastAsia="仿宋"/>
          <w:sz w:val="32"/>
          <w:szCs w:val="32"/>
        </w:rPr>
      </w:pPr>
      <w:r>
        <w:rPr>
          <w:rFonts w:hint="eastAsia" w:ascii="仿宋" w:hAnsi="仿宋" w:eastAsia="仿宋"/>
          <w:sz w:val="32"/>
          <w:szCs w:val="32"/>
        </w:rPr>
        <w:t>17．共青团项目品牌相关内容</w:t>
      </w:r>
    </w:p>
    <w:p w14:paraId="0A1A77C9">
      <w:pPr>
        <w:widowControl w:val="0"/>
        <w:ind w:firstLine="640" w:firstLineChars="200"/>
        <w:rPr>
          <w:rFonts w:hint="eastAsia" w:ascii="仿宋" w:hAnsi="仿宋" w:eastAsia="仿宋"/>
          <w:sz w:val="32"/>
          <w:szCs w:val="32"/>
        </w:rPr>
      </w:pPr>
      <w:r>
        <w:rPr>
          <w:rFonts w:hint="eastAsia" w:ascii="仿宋" w:hAnsi="仿宋" w:eastAsia="仿宋"/>
          <w:sz w:val="32"/>
          <w:szCs w:val="32"/>
        </w:rPr>
        <w:t>三、主题思政课、团课评审标准</w:t>
      </w:r>
    </w:p>
    <w:p w14:paraId="34720571">
      <w:pPr>
        <w:widowControl w:val="0"/>
        <w:ind w:firstLine="640" w:firstLineChars="200"/>
        <w:rPr>
          <w:rFonts w:hint="eastAsia" w:ascii="仿宋" w:hAnsi="仿宋" w:eastAsia="仿宋"/>
          <w:sz w:val="32"/>
          <w:szCs w:val="32"/>
        </w:rPr>
      </w:pPr>
      <w:r>
        <w:rPr>
          <w:rFonts w:hint="eastAsia" w:ascii="仿宋" w:hAnsi="仿宋" w:eastAsia="仿宋"/>
          <w:sz w:val="32"/>
          <w:szCs w:val="32"/>
        </w:rPr>
        <w:t>评审要求（共100分）</w:t>
      </w:r>
    </w:p>
    <w:p w14:paraId="154790B7">
      <w:pPr>
        <w:widowControl w:val="0"/>
        <w:ind w:firstLine="640" w:firstLineChars="200"/>
        <w:rPr>
          <w:rFonts w:hint="eastAsia" w:ascii="仿宋" w:hAnsi="仿宋" w:eastAsia="仿宋"/>
          <w:sz w:val="32"/>
          <w:szCs w:val="32"/>
        </w:rPr>
      </w:pPr>
      <w:r>
        <w:rPr>
          <w:rFonts w:hint="eastAsia" w:ascii="仿宋" w:hAnsi="仿宋" w:eastAsia="仿宋"/>
          <w:sz w:val="32"/>
          <w:szCs w:val="32"/>
        </w:rPr>
        <w:t>宣讲主题（25分）</w:t>
      </w:r>
    </w:p>
    <w:p w14:paraId="75877157">
      <w:pPr>
        <w:widowControl w:val="0"/>
        <w:ind w:firstLine="640" w:firstLineChars="200"/>
        <w:rPr>
          <w:rFonts w:hint="eastAsia" w:ascii="仿宋" w:hAnsi="仿宋" w:eastAsia="仿宋"/>
          <w:sz w:val="32"/>
          <w:szCs w:val="32"/>
        </w:rPr>
      </w:pPr>
      <w:r>
        <w:rPr>
          <w:rFonts w:hint="eastAsia" w:ascii="仿宋" w:hAnsi="仿宋" w:eastAsia="仿宋"/>
          <w:sz w:val="32"/>
          <w:szCs w:val="32"/>
        </w:rPr>
        <w:t>主题鲜明，导向正确。能正确运用马克思主义立场、观点和方法，帮助团员解决思想问题，特别是理想、信念、宗旨、作风等方面的问题，形成向上向善的积极导向。</w:t>
      </w:r>
    </w:p>
    <w:p w14:paraId="68140948">
      <w:pPr>
        <w:widowControl w:val="0"/>
        <w:ind w:firstLine="640" w:firstLineChars="200"/>
        <w:rPr>
          <w:rFonts w:hint="eastAsia" w:ascii="仿宋" w:hAnsi="仿宋" w:eastAsia="仿宋"/>
          <w:sz w:val="32"/>
          <w:szCs w:val="32"/>
        </w:rPr>
      </w:pPr>
      <w:r>
        <w:rPr>
          <w:rFonts w:hint="eastAsia" w:ascii="仿宋" w:hAnsi="仿宋" w:eastAsia="仿宋"/>
          <w:sz w:val="32"/>
          <w:szCs w:val="32"/>
        </w:rPr>
        <w:t>宣讲内容（40分）</w:t>
      </w:r>
    </w:p>
    <w:p w14:paraId="63B4FC53">
      <w:pPr>
        <w:widowControl w:val="0"/>
        <w:ind w:firstLine="640" w:firstLineChars="200"/>
        <w:rPr>
          <w:rFonts w:hint="eastAsia" w:ascii="仿宋" w:hAnsi="仿宋" w:eastAsia="仿宋"/>
          <w:sz w:val="32"/>
          <w:szCs w:val="32"/>
        </w:rPr>
      </w:pPr>
      <w:r>
        <w:rPr>
          <w:rFonts w:hint="eastAsia" w:ascii="仿宋" w:hAnsi="仿宋" w:eastAsia="仿宋"/>
          <w:sz w:val="32"/>
          <w:szCs w:val="32"/>
        </w:rPr>
        <w:t>内容丰富，逻辑清晰。能紧扣团课、思政课主题设计内容，结构严谨，主线明晰，观点准确，内容丰富，衔接顺畅，素材选用得当，有一定的信息量，语言贴合青年特点，能够将政治思想转化为青年语言，符合团课、思政课内容要求。</w:t>
      </w:r>
    </w:p>
    <w:p w14:paraId="3140EEF2">
      <w:pPr>
        <w:widowControl w:val="0"/>
        <w:ind w:firstLine="640" w:firstLineChars="200"/>
        <w:rPr>
          <w:rFonts w:hint="eastAsia" w:ascii="仿宋" w:hAnsi="仿宋" w:eastAsia="仿宋"/>
          <w:sz w:val="32"/>
          <w:szCs w:val="32"/>
        </w:rPr>
      </w:pPr>
      <w:r>
        <w:rPr>
          <w:rFonts w:hint="eastAsia" w:ascii="仿宋" w:hAnsi="仿宋" w:eastAsia="仿宋"/>
          <w:sz w:val="32"/>
          <w:szCs w:val="32"/>
        </w:rPr>
        <w:t>宣讲形式（15分）</w:t>
      </w:r>
    </w:p>
    <w:p w14:paraId="231B77E2">
      <w:pPr>
        <w:widowControl w:val="0"/>
        <w:ind w:firstLine="640" w:firstLineChars="200"/>
        <w:rPr>
          <w:rFonts w:hint="eastAsia" w:ascii="仿宋" w:hAnsi="仿宋" w:eastAsia="仿宋"/>
          <w:sz w:val="32"/>
          <w:szCs w:val="32"/>
        </w:rPr>
      </w:pPr>
      <w:r>
        <w:rPr>
          <w:rFonts w:hint="eastAsia" w:ascii="仿宋" w:hAnsi="仿宋" w:eastAsia="仿宋"/>
          <w:sz w:val="32"/>
          <w:szCs w:val="32"/>
        </w:rPr>
        <w:t>形象生动，引人入胜。能紧扣团课、思政课主题和内容设计讲授形式，有较好的讲授技巧，善于将“大道理”转化为团员青年易于接受的“小道理”，口头表达清晰准确流利，仪态端庄大方，表情和肢体语言得体，感情饱满有感染力。</w:t>
      </w:r>
    </w:p>
    <w:p w14:paraId="6FD2D4E4">
      <w:pPr>
        <w:widowControl w:val="0"/>
        <w:ind w:firstLine="640" w:firstLineChars="200"/>
        <w:rPr>
          <w:rFonts w:hint="eastAsia" w:ascii="仿宋" w:hAnsi="仿宋" w:eastAsia="仿宋"/>
          <w:sz w:val="32"/>
          <w:szCs w:val="32"/>
        </w:rPr>
      </w:pPr>
      <w:r>
        <w:rPr>
          <w:rFonts w:hint="eastAsia" w:ascii="仿宋" w:hAnsi="仿宋" w:eastAsia="仿宋"/>
          <w:sz w:val="32"/>
          <w:szCs w:val="32"/>
        </w:rPr>
        <w:t>宣讲效果（20分）</w:t>
      </w:r>
    </w:p>
    <w:p w14:paraId="063E2D16">
      <w:pPr>
        <w:widowControl w:val="0"/>
        <w:ind w:firstLine="640" w:firstLineChars="200"/>
        <w:rPr>
          <w:rFonts w:hint="eastAsia" w:ascii="仿宋" w:hAnsi="仿宋" w:eastAsia="仿宋"/>
          <w:sz w:val="32"/>
          <w:szCs w:val="32"/>
        </w:rPr>
      </w:pPr>
      <w:r>
        <w:rPr>
          <w:rFonts w:hint="eastAsia" w:ascii="仿宋" w:hAnsi="仿宋" w:eastAsia="仿宋"/>
          <w:sz w:val="32"/>
          <w:szCs w:val="32"/>
        </w:rPr>
        <w:t>目标明确、达到预期。能结合团员青年身心特点，培养团员意识，增强对党、团组织的理解和认同，共鸣感强，宣讲效果好。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2539767"/>
    </w:sdtPr>
    <w:sdtContent>
      <w:p w14:paraId="402DEF82">
        <w:pPr>
          <w:pStyle w:val="4"/>
          <w:jc w:val="center"/>
        </w:pPr>
        <w:r>
          <w:fldChar w:fldCharType="begin"/>
        </w:r>
        <w:r>
          <w:instrText xml:space="preserve">PAGE   \* MERGEFORMAT</w:instrText>
        </w:r>
        <w:r>
          <w:fldChar w:fldCharType="separate"/>
        </w:r>
        <w:r>
          <w:rPr>
            <w:lang w:val="zh-CN"/>
          </w:rPr>
          <w:t>2</w:t>
        </w:r>
        <w:r>
          <w:fldChar w:fldCharType="end"/>
        </w:r>
      </w:p>
    </w:sdtContent>
  </w:sdt>
  <w:p w14:paraId="3D4A2E2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iNTM3ZGU1YTdmYjZiZDlhMjg2NmQxMThkZTA3NzQifQ=="/>
  </w:docVars>
  <w:rsids>
    <w:rsidRoot w:val="00E41D23"/>
    <w:rsid w:val="000148CD"/>
    <w:rsid w:val="00031215"/>
    <w:rsid w:val="000413E6"/>
    <w:rsid w:val="00093A1F"/>
    <w:rsid w:val="000D708D"/>
    <w:rsid w:val="000E31CA"/>
    <w:rsid w:val="000F7F9F"/>
    <w:rsid w:val="001073C5"/>
    <w:rsid w:val="00110D71"/>
    <w:rsid w:val="00124022"/>
    <w:rsid w:val="001300C2"/>
    <w:rsid w:val="00131A88"/>
    <w:rsid w:val="00134278"/>
    <w:rsid w:val="00156FF8"/>
    <w:rsid w:val="00161CD0"/>
    <w:rsid w:val="00181EDB"/>
    <w:rsid w:val="001C349E"/>
    <w:rsid w:val="001C4E4A"/>
    <w:rsid w:val="001E7BF2"/>
    <w:rsid w:val="0021675D"/>
    <w:rsid w:val="002349A0"/>
    <w:rsid w:val="0025467A"/>
    <w:rsid w:val="00264360"/>
    <w:rsid w:val="00267DC0"/>
    <w:rsid w:val="0027281E"/>
    <w:rsid w:val="00280F10"/>
    <w:rsid w:val="00287B98"/>
    <w:rsid w:val="002B5CEC"/>
    <w:rsid w:val="003112C3"/>
    <w:rsid w:val="0032098E"/>
    <w:rsid w:val="00333121"/>
    <w:rsid w:val="003462B8"/>
    <w:rsid w:val="00372C2D"/>
    <w:rsid w:val="00375D85"/>
    <w:rsid w:val="00382730"/>
    <w:rsid w:val="0038705F"/>
    <w:rsid w:val="003A6B2D"/>
    <w:rsid w:val="003B108F"/>
    <w:rsid w:val="003B56F8"/>
    <w:rsid w:val="003F18BA"/>
    <w:rsid w:val="003F6E0B"/>
    <w:rsid w:val="003F742E"/>
    <w:rsid w:val="00410A3E"/>
    <w:rsid w:val="00414C33"/>
    <w:rsid w:val="00451A9F"/>
    <w:rsid w:val="00457924"/>
    <w:rsid w:val="004600F2"/>
    <w:rsid w:val="00461A5B"/>
    <w:rsid w:val="0047147D"/>
    <w:rsid w:val="0048757D"/>
    <w:rsid w:val="004A2951"/>
    <w:rsid w:val="004A5D3B"/>
    <w:rsid w:val="004D77B8"/>
    <w:rsid w:val="004F6C49"/>
    <w:rsid w:val="0052495D"/>
    <w:rsid w:val="00531932"/>
    <w:rsid w:val="00531DE2"/>
    <w:rsid w:val="00545394"/>
    <w:rsid w:val="00555564"/>
    <w:rsid w:val="00565322"/>
    <w:rsid w:val="005960A0"/>
    <w:rsid w:val="005D0953"/>
    <w:rsid w:val="00602C5A"/>
    <w:rsid w:val="00610E9E"/>
    <w:rsid w:val="0065623B"/>
    <w:rsid w:val="00674399"/>
    <w:rsid w:val="006A007F"/>
    <w:rsid w:val="006A2979"/>
    <w:rsid w:val="006D121D"/>
    <w:rsid w:val="006D2BAF"/>
    <w:rsid w:val="00720491"/>
    <w:rsid w:val="00737964"/>
    <w:rsid w:val="00737FD7"/>
    <w:rsid w:val="00761A7E"/>
    <w:rsid w:val="00780460"/>
    <w:rsid w:val="007823FA"/>
    <w:rsid w:val="007C347F"/>
    <w:rsid w:val="007C3E3C"/>
    <w:rsid w:val="007D0A3A"/>
    <w:rsid w:val="007F4E56"/>
    <w:rsid w:val="008000DE"/>
    <w:rsid w:val="008019F2"/>
    <w:rsid w:val="00820B45"/>
    <w:rsid w:val="00824ECE"/>
    <w:rsid w:val="00870AE6"/>
    <w:rsid w:val="008733DF"/>
    <w:rsid w:val="00873746"/>
    <w:rsid w:val="008A45C0"/>
    <w:rsid w:val="008B0697"/>
    <w:rsid w:val="008B16F8"/>
    <w:rsid w:val="008E359A"/>
    <w:rsid w:val="00911BD1"/>
    <w:rsid w:val="00923B5B"/>
    <w:rsid w:val="00930FEF"/>
    <w:rsid w:val="009534FD"/>
    <w:rsid w:val="00954AFF"/>
    <w:rsid w:val="009569D0"/>
    <w:rsid w:val="009B6AD0"/>
    <w:rsid w:val="009C3EEE"/>
    <w:rsid w:val="009D2D42"/>
    <w:rsid w:val="00A0441C"/>
    <w:rsid w:val="00A27C96"/>
    <w:rsid w:val="00A5422C"/>
    <w:rsid w:val="00A64EB2"/>
    <w:rsid w:val="00A81B6B"/>
    <w:rsid w:val="00A923F8"/>
    <w:rsid w:val="00AC7930"/>
    <w:rsid w:val="00AD4612"/>
    <w:rsid w:val="00B029EB"/>
    <w:rsid w:val="00B2536F"/>
    <w:rsid w:val="00B52770"/>
    <w:rsid w:val="00B52DA0"/>
    <w:rsid w:val="00B97DF9"/>
    <w:rsid w:val="00BA64CF"/>
    <w:rsid w:val="00BB128E"/>
    <w:rsid w:val="00BB6C91"/>
    <w:rsid w:val="00BE23D6"/>
    <w:rsid w:val="00C21F6F"/>
    <w:rsid w:val="00C3637D"/>
    <w:rsid w:val="00C64C37"/>
    <w:rsid w:val="00C659EB"/>
    <w:rsid w:val="00C7231D"/>
    <w:rsid w:val="00C7429D"/>
    <w:rsid w:val="00C8612D"/>
    <w:rsid w:val="00CB0DF4"/>
    <w:rsid w:val="00CB7846"/>
    <w:rsid w:val="00CC3FF4"/>
    <w:rsid w:val="00CF35A0"/>
    <w:rsid w:val="00D0543C"/>
    <w:rsid w:val="00D064FB"/>
    <w:rsid w:val="00D60E17"/>
    <w:rsid w:val="00D94DC4"/>
    <w:rsid w:val="00DB5FD1"/>
    <w:rsid w:val="00E1664D"/>
    <w:rsid w:val="00E41D23"/>
    <w:rsid w:val="00E64857"/>
    <w:rsid w:val="00E7262A"/>
    <w:rsid w:val="00EA1C2B"/>
    <w:rsid w:val="00EC0880"/>
    <w:rsid w:val="00ED0517"/>
    <w:rsid w:val="00ED1F7A"/>
    <w:rsid w:val="00EF23DF"/>
    <w:rsid w:val="00EF648C"/>
    <w:rsid w:val="00FD37BE"/>
    <w:rsid w:val="26D81FFB"/>
    <w:rsid w:val="277DB7F4"/>
    <w:rsid w:val="2BA64A5F"/>
    <w:rsid w:val="3F8FF838"/>
    <w:rsid w:val="6E084D8F"/>
    <w:rsid w:val="6EBD4D18"/>
    <w:rsid w:val="70DE5D44"/>
    <w:rsid w:val="75FFAEE9"/>
    <w:rsid w:val="770677FB"/>
    <w:rsid w:val="77EFC705"/>
    <w:rsid w:val="7F6F0D73"/>
    <w:rsid w:val="9D6DDD11"/>
    <w:rsid w:val="9FDB6740"/>
    <w:rsid w:val="A9F8492E"/>
    <w:rsid w:val="DFBF4C85"/>
    <w:rsid w:val="E367A11A"/>
    <w:rsid w:val="F8BFFC0A"/>
    <w:rsid w:val="F9FF0373"/>
    <w:rsid w:val="FD93FCF2"/>
    <w:rsid w:val="FD94AD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autoRedefine/>
    <w:semiHidden/>
    <w:unhideWhenUsed/>
    <w:qFormat/>
    <w:uiPriority w:val="99"/>
  </w:style>
  <w:style w:type="paragraph" w:styleId="3">
    <w:name w:val="Balloon Text"/>
    <w:basedOn w:val="1"/>
    <w:link w:val="14"/>
    <w:autoRedefine/>
    <w:semiHidden/>
    <w:unhideWhenUsed/>
    <w:qFormat/>
    <w:uiPriority w:val="99"/>
    <w:rPr>
      <w:sz w:val="18"/>
      <w:szCs w:val="18"/>
    </w:rPr>
  </w:style>
  <w:style w:type="paragraph" w:styleId="4">
    <w:name w:val="footer"/>
    <w:basedOn w:val="1"/>
    <w:link w:val="13"/>
    <w:autoRedefine/>
    <w:unhideWhenUsed/>
    <w:qFormat/>
    <w:uiPriority w:val="99"/>
    <w:pPr>
      <w:tabs>
        <w:tab w:val="center" w:pos="4153"/>
        <w:tab w:val="right" w:pos="8306"/>
      </w:tabs>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jc w:val="center"/>
    </w:pPr>
    <w:rPr>
      <w:sz w:val="18"/>
      <w:szCs w:val="18"/>
    </w:rPr>
  </w:style>
  <w:style w:type="paragraph" w:styleId="6">
    <w:name w:val="annotation subject"/>
    <w:basedOn w:val="2"/>
    <w:next w:val="2"/>
    <w:link w:val="17"/>
    <w:autoRedefine/>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styleId="11">
    <w:name w:val="annotation reference"/>
    <w:basedOn w:val="9"/>
    <w:autoRedefine/>
    <w:semiHidden/>
    <w:unhideWhenUsed/>
    <w:qFormat/>
    <w:uiPriority w:val="99"/>
    <w:rPr>
      <w:sz w:val="21"/>
      <w:szCs w:val="21"/>
    </w:rPr>
  </w:style>
  <w:style w:type="character" w:customStyle="1" w:styleId="12">
    <w:name w:val="页眉 字符"/>
    <w:basedOn w:val="9"/>
    <w:link w:val="5"/>
    <w:autoRedefine/>
    <w:qFormat/>
    <w:uiPriority w:val="99"/>
    <w:rPr>
      <w:sz w:val="18"/>
      <w:szCs w:val="18"/>
    </w:rPr>
  </w:style>
  <w:style w:type="character" w:customStyle="1" w:styleId="13">
    <w:name w:val="页脚 字符"/>
    <w:basedOn w:val="9"/>
    <w:link w:val="4"/>
    <w:autoRedefine/>
    <w:qFormat/>
    <w:uiPriority w:val="99"/>
    <w:rPr>
      <w:sz w:val="18"/>
      <w:szCs w:val="18"/>
    </w:rPr>
  </w:style>
  <w:style w:type="character" w:customStyle="1" w:styleId="14">
    <w:name w:val="批注框文本 字符"/>
    <w:basedOn w:val="9"/>
    <w:link w:val="3"/>
    <w:autoRedefine/>
    <w:semiHidden/>
    <w:qFormat/>
    <w:uiPriority w:val="99"/>
    <w:rPr>
      <w:rFonts w:ascii="Arial" w:hAnsi="Arial" w:cs="Arial"/>
      <w:snapToGrid w:val="0"/>
      <w:color w:val="000000"/>
      <w:kern w:val="0"/>
      <w:sz w:val="18"/>
      <w:szCs w:val="18"/>
    </w:rPr>
  </w:style>
  <w:style w:type="table" w:customStyle="1" w:styleId="15">
    <w:name w:val="Table Normal"/>
    <w:autoRedefine/>
    <w:semiHidden/>
    <w:unhideWhenUsed/>
    <w:qFormat/>
    <w:uiPriority w:val="0"/>
    <w:rPr>
      <w:rFonts w:ascii="Arial" w:hAnsi="Arial" w:cs="Arial"/>
      <w:snapToGrid w:val="0"/>
      <w:color w:val="000000"/>
      <w:szCs w:val="21"/>
    </w:rPr>
    <w:tblPr>
      <w:tblCellMar>
        <w:top w:w="0" w:type="dxa"/>
        <w:left w:w="0" w:type="dxa"/>
        <w:bottom w:w="0" w:type="dxa"/>
        <w:right w:w="0" w:type="dxa"/>
      </w:tblCellMar>
    </w:tblPr>
  </w:style>
  <w:style w:type="character" w:customStyle="1" w:styleId="16">
    <w:name w:val="批注文字 字符"/>
    <w:basedOn w:val="9"/>
    <w:link w:val="2"/>
    <w:autoRedefine/>
    <w:semiHidden/>
    <w:qFormat/>
    <w:uiPriority w:val="99"/>
    <w:rPr>
      <w:rFonts w:ascii="Arial" w:hAnsi="Arial" w:cs="Arial"/>
      <w:snapToGrid w:val="0"/>
      <w:color w:val="000000"/>
      <w:kern w:val="0"/>
      <w:szCs w:val="21"/>
    </w:rPr>
  </w:style>
  <w:style w:type="character" w:customStyle="1" w:styleId="17">
    <w:name w:val="批注主题 字符"/>
    <w:basedOn w:val="16"/>
    <w:link w:val="6"/>
    <w:autoRedefine/>
    <w:semiHidden/>
    <w:qFormat/>
    <w:uiPriority w:val="99"/>
    <w:rPr>
      <w:rFonts w:ascii="Arial" w:hAnsi="Arial" w:cs="Arial"/>
      <w:b/>
      <w:bCs/>
      <w:snapToGrid w:val="0"/>
      <w:color w:val="000000"/>
      <w:kern w:val="0"/>
      <w:szCs w:val="21"/>
    </w:rPr>
  </w:style>
  <w:style w:type="character" w:customStyle="1" w:styleId="18">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331D4-33A7-47BA-858D-5ECC93DF5B66}">
  <ds:schemaRefs/>
</ds:datastoreItem>
</file>

<file path=docProps/app.xml><?xml version="1.0" encoding="utf-8"?>
<Properties xmlns="http://schemas.openxmlformats.org/officeDocument/2006/extended-properties" xmlns:vt="http://schemas.openxmlformats.org/officeDocument/2006/docPropsVTypes">
  <Template>Normal</Template>
  <Pages>6</Pages>
  <Words>2779</Words>
  <Characters>2837</Characters>
  <Lines>20</Lines>
  <Paragraphs>5</Paragraphs>
  <TotalTime>34</TotalTime>
  <ScaleCrop>false</ScaleCrop>
  <LinksUpToDate>false</LinksUpToDate>
  <CharactersWithSpaces>2849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2024-06-05T07:40:00Z</dcterms:created>
  <dc:creator>lenovo</dc:creator>
  <cp:lastModifiedBy>李大胆</cp:lastModifiedBy>
  <cp:lastPrinted>2023-03-29T03:26:00Z</cp:lastPrinted>
  <dcterms:modified xsi:type="dcterms:W3CDTF">2025-03-28T06:47:17Z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7CFC78C2F5034CDFAD5E3F277D03FF8C_13</vt:lpwstr>
  </property>
  <property fmtid="{D5CDD505-2E9C-101B-9397-08002B2CF9AE}" pid="4" name="KSOTemplateDocerSaveRecord">
    <vt:lpwstr>eyJoZGlkIjoiNGVjMTVmYTdjM2IyZTNhYzM3NzgwMDZmODZkNzRiZTMiLCJ1c2VySWQiOiI1OTIzNTMwMjMifQ==</vt:lpwstr>
  </property>
</Properties>
</file>